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BC9B81" w14:textId="77777777" w:rsidR="0045499C" w:rsidRDefault="0045499C" w:rsidP="0045499C">
      <w:pPr>
        <w:spacing w:line="480" w:lineRule="auto"/>
        <w:jc w:val="center"/>
      </w:pPr>
      <w:bookmarkStart w:id="0" w:name="_GoBack"/>
      <w:bookmarkEnd w:id="0"/>
    </w:p>
    <w:p w14:paraId="42124387" w14:textId="77777777" w:rsidR="0045499C" w:rsidRDefault="0045499C" w:rsidP="0045499C">
      <w:pPr>
        <w:spacing w:line="480" w:lineRule="auto"/>
        <w:jc w:val="center"/>
      </w:pPr>
    </w:p>
    <w:p w14:paraId="3809CE00" w14:textId="77777777" w:rsidR="0045499C" w:rsidRDefault="0045499C" w:rsidP="0045499C">
      <w:pPr>
        <w:spacing w:line="480" w:lineRule="auto"/>
        <w:jc w:val="center"/>
      </w:pPr>
    </w:p>
    <w:p w14:paraId="4210C83B" w14:textId="77777777" w:rsidR="0045499C" w:rsidRDefault="0045499C" w:rsidP="0045499C">
      <w:pPr>
        <w:spacing w:line="480" w:lineRule="auto"/>
        <w:jc w:val="center"/>
      </w:pPr>
    </w:p>
    <w:p w14:paraId="25921E6A" w14:textId="77777777" w:rsidR="0045499C" w:rsidRDefault="0045499C" w:rsidP="0045499C">
      <w:pPr>
        <w:spacing w:line="480" w:lineRule="auto"/>
        <w:jc w:val="center"/>
      </w:pPr>
    </w:p>
    <w:p w14:paraId="761372E3" w14:textId="77777777" w:rsidR="0045499C" w:rsidRPr="00F76B47" w:rsidRDefault="0045499C" w:rsidP="0045499C">
      <w:pPr>
        <w:spacing w:line="480" w:lineRule="auto"/>
        <w:jc w:val="center"/>
        <w:rPr>
          <w:rFonts w:ascii="Times New Roman" w:hAnsi="Times New Roman" w:cs="Times New Roman"/>
          <w:sz w:val="24"/>
          <w:szCs w:val="24"/>
        </w:rPr>
      </w:pPr>
    </w:p>
    <w:p w14:paraId="26EF66DA" w14:textId="71A58605" w:rsidR="0045499C" w:rsidRPr="00F76B47" w:rsidRDefault="009D25AA" w:rsidP="0045499C">
      <w:pPr>
        <w:spacing w:line="480" w:lineRule="auto"/>
        <w:jc w:val="center"/>
        <w:rPr>
          <w:rFonts w:ascii="Times New Roman" w:hAnsi="Times New Roman" w:cs="Times New Roman"/>
          <w:sz w:val="24"/>
          <w:szCs w:val="24"/>
        </w:rPr>
      </w:pPr>
      <w:r w:rsidRPr="00F76B47">
        <w:rPr>
          <w:rFonts w:ascii="Times New Roman" w:hAnsi="Times New Roman" w:cs="Times New Roman"/>
          <w:sz w:val="24"/>
          <w:szCs w:val="24"/>
        </w:rPr>
        <w:t>Permissive Exposure Levels</w:t>
      </w:r>
    </w:p>
    <w:p w14:paraId="1E267FFE" w14:textId="0CF58A1F" w:rsidR="0045499C" w:rsidRPr="00F76B47" w:rsidRDefault="009D25AA" w:rsidP="0045499C">
      <w:pPr>
        <w:spacing w:line="480" w:lineRule="auto"/>
        <w:jc w:val="center"/>
        <w:rPr>
          <w:rFonts w:ascii="Times New Roman" w:hAnsi="Times New Roman" w:cs="Times New Roman"/>
          <w:sz w:val="24"/>
          <w:szCs w:val="24"/>
        </w:rPr>
      </w:pPr>
      <w:r w:rsidRPr="00F76B47">
        <w:rPr>
          <w:rFonts w:ascii="Times New Roman" w:hAnsi="Times New Roman" w:cs="Times New Roman"/>
          <w:sz w:val="24"/>
          <w:szCs w:val="24"/>
        </w:rPr>
        <w:t>Student’s Name</w:t>
      </w:r>
    </w:p>
    <w:p w14:paraId="42C083BB" w14:textId="74EA3F3F" w:rsidR="0045499C" w:rsidRPr="00F76B47" w:rsidRDefault="009D25AA" w:rsidP="0045499C">
      <w:pPr>
        <w:spacing w:line="480" w:lineRule="auto"/>
        <w:jc w:val="center"/>
        <w:rPr>
          <w:rFonts w:ascii="Times New Roman" w:hAnsi="Times New Roman" w:cs="Times New Roman"/>
          <w:sz w:val="24"/>
          <w:szCs w:val="24"/>
        </w:rPr>
      </w:pPr>
      <w:r w:rsidRPr="00F76B47">
        <w:rPr>
          <w:rFonts w:ascii="Times New Roman" w:hAnsi="Times New Roman" w:cs="Times New Roman"/>
          <w:sz w:val="24"/>
          <w:szCs w:val="24"/>
        </w:rPr>
        <w:t>Institutional Affiliation</w:t>
      </w:r>
    </w:p>
    <w:p w14:paraId="26B750A6" w14:textId="77777777" w:rsidR="0045499C" w:rsidRDefault="0045499C" w:rsidP="003D7F78">
      <w:pPr>
        <w:spacing w:line="480" w:lineRule="auto"/>
      </w:pPr>
    </w:p>
    <w:p w14:paraId="7CE244CD" w14:textId="77777777" w:rsidR="0045499C" w:rsidRDefault="0045499C" w:rsidP="003D7F78">
      <w:pPr>
        <w:spacing w:line="480" w:lineRule="auto"/>
      </w:pPr>
    </w:p>
    <w:p w14:paraId="63BC2F44" w14:textId="77777777" w:rsidR="0045499C" w:rsidRDefault="0045499C" w:rsidP="003D7F78">
      <w:pPr>
        <w:spacing w:line="480" w:lineRule="auto"/>
        <w:rPr>
          <w:rFonts w:ascii="Times New Roman" w:hAnsi="Times New Roman" w:cs="Times New Roman"/>
          <w:sz w:val="24"/>
          <w:szCs w:val="24"/>
        </w:rPr>
      </w:pPr>
    </w:p>
    <w:p w14:paraId="2CB52C11" w14:textId="77777777" w:rsidR="0045499C" w:rsidRDefault="0045499C" w:rsidP="003D7F78">
      <w:pPr>
        <w:spacing w:line="480" w:lineRule="auto"/>
        <w:rPr>
          <w:rFonts w:ascii="Times New Roman" w:hAnsi="Times New Roman" w:cs="Times New Roman"/>
          <w:sz w:val="24"/>
          <w:szCs w:val="24"/>
        </w:rPr>
      </w:pPr>
    </w:p>
    <w:p w14:paraId="6520EC2E" w14:textId="77777777" w:rsidR="0045499C" w:rsidRPr="00CD689A" w:rsidRDefault="0045499C" w:rsidP="00CD689A">
      <w:pPr>
        <w:spacing w:line="480" w:lineRule="auto"/>
        <w:rPr>
          <w:rFonts w:ascii="Times New Roman" w:hAnsi="Times New Roman" w:cs="Times New Roman"/>
          <w:sz w:val="24"/>
          <w:szCs w:val="24"/>
        </w:rPr>
      </w:pPr>
    </w:p>
    <w:p w14:paraId="2B0FA872" w14:textId="77777777" w:rsidR="0045499C" w:rsidRPr="00CD689A" w:rsidRDefault="0045499C" w:rsidP="00CD689A">
      <w:pPr>
        <w:spacing w:line="480" w:lineRule="auto"/>
        <w:rPr>
          <w:rFonts w:ascii="Times New Roman" w:hAnsi="Times New Roman" w:cs="Times New Roman"/>
          <w:sz w:val="24"/>
          <w:szCs w:val="24"/>
        </w:rPr>
      </w:pPr>
    </w:p>
    <w:p w14:paraId="190EB4F7" w14:textId="77777777" w:rsidR="0045499C" w:rsidRPr="00CD689A" w:rsidRDefault="0045499C" w:rsidP="00CD689A">
      <w:pPr>
        <w:spacing w:line="480" w:lineRule="auto"/>
        <w:rPr>
          <w:rFonts w:ascii="Times New Roman" w:hAnsi="Times New Roman" w:cs="Times New Roman"/>
          <w:sz w:val="24"/>
          <w:szCs w:val="24"/>
        </w:rPr>
      </w:pPr>
    </w:p>
    <w:p w14:paraId="334174F5" w14:textId="77777777" w:rsidR="0045499C" w:rsidRPr="00CD689A" w:rsidRDefault="0045499C" w:rsidP="00CD689A">
      <w:pPr>
        <w:spacing w:line="480" w:lineRule="auto"/>
        <w:rPr>
          <w:rFonts w:ascii="Times New Roman" w:hAnsi="Times New Roman" w:cs="Times New Roman"/>
          <w:sz w:val="24"/>
          <w:szCs w:val="24"/>
        </w:rPr>
      </w:pPr>
    </w:p>
    <w:p w14:paraId="17B2BB17" w14:textId="77777777" w:rsidR="00CD689A" w:rsidRDefault="00CD689A" w:rsidP="00CD689A">
      <w:pPr>
        <w:spacing w:line="480" w:lineRule="auto"/>
        <w:rPr>
          <w:rFonts w:ascii="Times New Roman" w:hAnsi="Times New Roman" w:cs="Times New Roman"/>
          <w:sz w:val="24"/>
          <w:szCs w:val="24"/>
        </w:rPr>
      </w:pPr>
    </w:p>
    <w:p w14:paraId="3826ED2E" w14:textId="4E546BA7" w:rsidR="00395B58" w:rsidRPr="00CD689A" w:rsidRDefault="009D25AA" w:rsidP="00CD689A">
      <w:pPr>
        <w:spacing w:line="480" w:lineRule="auto"/>
        <w:ind w:firstLine="720"/>
        <w:rPr>
          <w:rFonts w:ascii="Times New Roman" w:hAnsi="Times New Roman" w:cs="Times New Roman"/>
          <w:sz w:val="24"/>
          <w:szCs w:val="24"/>
        </w:rPr>
      </w:pPr>
      <w:r w:rsidRPr="00CD689A">
        <w:rPr>
          <w:rFonts w:ascii="Times New Roman" w:hAnsi="Times New Roman" w:cs="Times New Roman"/>
          <w:sz w:val="24"/>
          <w:szCs w:val="24"/>
        </w:rPr>
        <w:lastRenderedPageBreak/>
        <w:t xml:space="preserve">Effective management of OSH and the safety process calls for collaboration between these two disciplines to enhance understanding of the matter and dimensions of the </w:t>
      </w:r>
      <w:r w:rsidRPr="00CD689A">
        <w:rPr>
          <w:rFonts w:ascii="Times New Roman" w:hAnsi="Times New Roman" w:cs="Times New Roman"/>
          <w:sz w:val="24"/>
          <w:szCs w:val="24"/>
        </w:rPr>
        <w:t>occupations to reach the solutions that look at both OSH risk and process safety. For instance</w:t>
      </w:r>
      <w:r w:rsidR="003D7F78" w:rsidRPr="00CD689A">
        <w:rPr>
          <w:rFonts w:ascii="Times New Roman" w:hAnsi="Times New Roman" w:cs="Times New Roman"/>
          <w:sz w:val="24"/>
          <w:szCs w:val="24"/>
        </w:rPr>
        <w:t>,</w:t>
      </w:r>
      <w:r w:rsidRPr="00CD689A">
        <w:rPr>
          <w:rFonts w:ascii="Times New Roman" w:hAnsi="Times New Roman" w:cs="Times New Roman"/>
          <w:sz w:val="24"/>
          <w:szCs w:val="24"/>
        </w:rPr>
        <w:t xml:space="preserve"> it is not encouraging to allow free drainage of contaminated rainwater into the near water </w:t>
      </w:r>
      <w:r w:rsidR="003D7F78" w:rsidRPr="00CD689A">
        <w:rPr>
          <w:rFonts w:ascii="Times New Roman" w:hAnsi="Times New Roman" w:cs="Times New Roman"/>
          <w:sz w:val="24"/>
          <w:szCs w:val="24"/>
        </w:rPr>
        <w:t xml:space="preserve">point, and it is also not right to allow water that is stagnant to become a potential risk for human health. The companion </w:t>
      </w:r>
      <w:r w:rsidRPr="00CD689A">
        <w:rPr>
          <w:rFonts w:ascii="Times New Roman" w:hAnsi="Times New Roman" w:cs="Times New Roman"/>
          <w:sz w:val="24"/>
          <w:szCs w:val="24"/>
        </w:rPr>
        <w:t>links</w:t>
      </w:r>
      <w:r w:rsidR="003D7F78" w:rsidRPr="00CD689A">
        <w:rPr>
          <w:rFonts w:ascii="Times New Roman" w:hAnsi="Times New Roman" w:cs="Times New Roman"/>
          <w:sz w:val="24"/>
          <w:szCs w:val="24"/>
        </w:rPr>
        <w:t xml:space="preserve"> the subjects by providing OHS with </w:t>
      </w:r>
      <w:r w:rsidRPr="00CD689A">
        <w:rPr>
          <w:rFonts w:ascii="Times New Roman" w:hAnsi="Times New Roman" w:cs="Times New Roman"/>
          <w:sz w:val="24"/>
          <w:szCs w:val="24"/>
        </w:rPr>
        <w:t>the primary process safety knowledge to address their practice and to enhance cooperation with the process of safety professionals. They also work to improve awa</w:t>
      </w:r>
      <w:r w:rsidRPr="00CD689A">
        <w:rPr>
          <w:rFonts w:ascii="Times New Roman" w:hAnsi="Times New Roman" w:cs="Times New Roman"/>
          <w:sz w:val="24"/>
          <w:szCs w:val="24"/>
        </w:rPr>
        <w:t xml:space="preserve">reness of process safety professionals on their </w:t>
      </w:r>
      <w:r w:rsidR="0045499C" w:rsidRPr="00CD689A">
        <w:rPr>
          <w:rFonts w:ascii="Times New Roman" w:hAnsi="Times New Roman" w:cs="Times New Roman"/>
          <w:sz w:val="24"/>
          <w:szCs w:val="24"/>
        </w:rPr>
        <w:t>role. ( Kappe et al. 2006)</w:t>
      </w:r>
    </w:p>
    <w:p w14:paraId="733DE3A6" w14:textId="76F8BAF7" w:rsidR="00395B58" w:rsidRPr="00CD689A" w:rsidRDefault="009D25AA" w:rsidP="00CD689A">
      <w:pPr>
        <w:spacing w:line="480" w:lineRule="auto"/>
        <w:rPr>
          <w:rFonts w:ascii="Times New Roman" w:hAnsi="Times New Roman" w:cs="Times New Roman"/>
          <w:sz w:val="24"/>
          <w:szCs w:val="24"/>
        </w:rPr>
      </w:pPr>
      <w:r w:rsidRPr="00CD689A">
        <w:rPr>
          <w:rFonts w:ascii="Times New Roman" w:hAnsi="Times New Roman" w:cs="Times New Roman"/>
          <w:sz w:val="24"/>
          <w:szCs w:val="24"/>
        </w:rPr>
        <w:tab/>
        <w:t xml:space="preserve">The safety </w:t>
      </w:r>
      <w:r w:rsidR="00C14114" w:rsidRPr="00CD689A">
        <w:rPr>
          <w:rFonts w:ascii="Times New Roman" w:hAnsi="Times New Roman" w:cs="Times New Roman"/>
          <w:sz w:val="24"/>
          <w:szCs w:val="24"/>
        </w:rPr>
        <w:t>Centre</w:t>
      </w:r>
      <w:r w:rsidRPr="00CD689A">
        <w:rPr>
          <w:rFonts w:ascii="Times New Roman" w:hAnsi="Times New Roman" w:cs="Times New Roman"/>
          <w:sz w:val="24"/>
          <w:szCs w:val="24"/>
        </w:rPr>
        <w:t xml:space="preserve"> for IChemE </w:t>
      </w:r>
      <w:r w:rsidR="004F5BD5" w:rsidRPr="00CD689A">
        <w:rPr>
          <w:rFonts w:ascii="Times New Roman" w:hAnsi="Times New Roman" w:cs="Times New Roman"/>
          <w:sz w:val="24"/>
          <w:szCs w:val="24"/>
        </w:rPr>
        <w:t xml:space="preserve">has employed a process safety competency framework that addresses the competencies and proficiency levels on the roles of, for example, operator, supervisor, and the general management and subordinate roles which may be the human resource to the management board. The structure allows for the identification of the functions of the process safety </w:t>
      </w:r>
      <w:r w:rsidR="00C14114" w:rsidRPr="00CD689A">
        <w:rPr>
          <w:rFonts w:ascii="Times New Roman" w:hAnsi="Times New Roman" w:cs="Times New Roman"/>
          <w:sz w:val="24"/>
          <w:szCs w:val="24"/>
        </w:rPr>
        <w:t>and professionals of OHS.</w:t>
      </w:r>
    </w:p>
    <w:p w14:paraId="3F2986F3" w14:textId="7FC52D64" w:rsidR="00872B2F" w:rsidRPr="00CD689A" w:rsidRDefault="009D25AA" w:rsidP="00CD689A">
      <w:pPr>
        <w:spacing w:line="480" w:lineRule="auto"/>
        <w:rPr>
          <w:rFonts w:ascii="Times New Roman" w:hAnsi="Times New Roman" w:cs="Times New Roman"/>
          <w:sz w:val="24"/>
          <w:szCs w:val="24"/>
        </w:rPr>
      </w:pPr>
      <w:r w:rsidRPr="00CD689A">
        <w:rPr>
          <w:rFonts w:ascii="Times New Roman" w:hAnsi="Times New Roman" w:cs="Times New Roman"/>
          <w:sz w:val="24"/>
          <w:szCs w:val="24"/>
        </w:rPr>
        <w:t xml:space="preserve"> The process of manufacturing the </w:t>
      </w:r>
      <w:r w:rsidRPr="00CD689A">
        <w:rPr>
          <w:rFonts w:ascii="Times New Roman" w:hAnsi="Times New Roman" w:cs="Times New Roman"/>
          <w:sz w:val="24"/>
          <w:szCs w:val="24"/>
        </w:rPr>
        <w:t>new product cannot be implemented without a chemical hood since it is very crucial in a manufacturing plant. The chemical hoods are one of the most essential used devices. We should note that the use of protective gloves, plant smocks, sound safety practic</w:t>
      </w:r>
      <w:r w:rsidRPr="00CD689A">
        <w:rPr>
          <w:rFonts w:ascii="Times New Roman" w:hAnsi="Times New Roman" w:cs="Times New Roman"/>
          <w:sz w:val="24"/>
          <w:szCs w:val="24"/>
        </w:rPr>
        <w:t xml:space="preserve">es, and chemical fumes hoods are crucial in protecting </w:t>
      </w:r>
      <w:r w:rsidR="0068636D" w:rsidRPr="00CD689A">
        <w:rPr>
          <w:rFonts w:ascii="Times New Roman" w:hAnsi="Times New Roman" w:cs="Times New Roman"/>
          <w:sz w:val="24"/>
          <w:szCs w:val="24"/>
        </w:rPr>
        <w:t xml:space="preserve">against a potentially dangerous exposure. Chemical hoods guard users when they adequately used, and the users are working well. A chemical hood is set to protect the users from exposure of vapors, poisonous materials, aerosols, and other harmful chemicals. The other purpose of chemical hoods as a shield for protection when one is working with </w:t>
      </w:r>
      <w:r w:rsidR="00A95C8C" w:rsidRPr="00CD689A">
        <w:rPr>
          <w:rFonts w:ascii="Times New Roman" w:hAnsi="Times New Roman" w:cs="Times New Roman"/>
          <w:sz w:val="24"/>
          <w:szCs w:val="24"/>
        </w:rPr>
        <w:t xml:space="preserve">explosive or highly reactive </w:t>
      </w:r>
      <w:r w:rsidR="0045499C" w:rsidRPr="00CD689A">
        <w:rPr>
          <w:rFonts w:ascii="Times New Roman" w:hAnsi="Times New Roman" w:cs="Times New Roman"/>
          <w:sz w:val="24"/>
          <w:szCs w:val="24"/>
        </w:rPr>
        <w:t>chemicals. (Abel et al. (1995)</w:t>
      </w:r>
    </w:p>
    <w:p w14:paraId="71A98B89" w14:textId="105AFDD5" w:rsidR="00A95C8C" w:rsidRPr="00CD689A" w:rsidRDefault="00A95C8C" w:rsidP="00CD689A">
      <w:pPr>
        <w:spacing w:line="480" w:lineRule="auto"/>
        <w:rPr>
          <w:rFonts w:ascii="Times New Roman" w:hAnsi="Times New Roman" w:cs="Times New Roman"/>
          <w:sz w:val="24"/>
          <w:szCs w:val="24"/>
        </w:rPr>
      </w:pPr>
    </w:p>
    <w:p w14:paraId="0DC89FFC" w14:textId="7A341DCB" w:rsidR="00A95C8C" w:rsidRPr="00CD689A" w:rsidRDefault="009D25AA" w:rsidP="00CD689A">
      <w:pPr>
        <w:spacing w:line="480" w:lineRule="auto"/>
        <w:rPr>
          <w:rFonts w:ascii="Times New Roman" w:hAnsi="Times New Roman" w:cs="Times New Roman"/>
          <w:sz w:val="24"/>
          <w:szCs w:val="24"/>
        </w:rPr>
      </w:pPr>
      <w:r w:rsidRPr="00CD689A">
        <w:rPr>
          <w:rFonts w:ascii="Times New Roman" w:hAnsi="Times New Roman" w:cs="Times New Roman"/>
          <w:sz w:val="24"/>
          <w:szCs w:val="24"/>
        </w:rPr>
        <w:lastRenderedPageBreak/>
        <w:tab/>
      </w:r>
      <w:r w:rsidR="00CD689A" w:rsidRPr="00CD689A">
        <w:rPr>
          <w:rFonts w:ascii="Times New Roman" w:hAnsi="Times New Roman" w:cs="Times New Roman"/>
          <w:sz w:val="24"/>
          <w:szCs w:val="24"/>
        </w:rPr>
        <w:t>8-hour</w:t>
      </w:r>
      <w:r w:rsidR="00C411D2" w:rsidRPr="00CD689A">
        <w:rPr>
          <w:rFonts w:ascii="Times New Roman" w:hAnsi="Times New Roman" w:cs="Times New Roman"/>
          <w:sz w:val="24"/>
          <w:szCs w:val="24"/>
        </w:rPr>
        <w:t xml:space="preserve"> TWA= (tc1+tc2+……tcn)</w:t>
      </w:r>
      <w:r w:rsidR="00CD689A" w:rsidRPr="00CD689A">
        <w:rPr>
          <w:rFonts w:ascii="Times New Roman" w:hAnsi="Times New Roman" w:cs="Times New Roman"/>
          <w:sz w:val="24"/>
          <w:szCs w:val="24"/>
        </w:rPr>
        <w:t>/ (</w:t>
      </w:r>
      <w:r w:rsidR="00C411D2" w:rsidRPr="00CD689A">
        <w:rPr>
          <w:rFonts w:ascii="Times New Roman" w:hAnsi="Times New Roman" w:cs="Times New Roman"/>
          <w:sz w:val="24"/>
          <w:szCs w:val="24"/>
        </w:rPr>
        <w:t>t1</w:t>
      </w:r>
      <w:r w:rsidR="00CD689A" w:rsidRPr="00CD689A">
        <w:rPr>
          <w:rFonts w:ascii="Times New Roman" w:hAnsi="Times New Roman" w:cs="Times New Roman"/>
          <w:sz w:val="24"/>
          <w:szCs w:val="24"/>
        </w:rPr>
        <w:t>…. +</w:t>
      </w:r>
      <w:r w:rsidR="00C411D2" w:rsidRPr="00CD689A">
        <w:rPr>
          <w:rFonts w:ascii="Times New Roman" w:hAnsi="Times New Roman" w:cs="Times New Roman"/>
          <w:sz w:val="24"/>
          <w:szCs w:val="24"/>
        </w:rPr>
        <w:t>tn)</w:t>
      </w:r>
    </w:p>
    <w:p w14:paraId="54E0A1A1" w14:textId="3E7E530F" w:rsidR="00C411D2" w:rsidRPr="00CD689A" w:rsidRDefault="009D25AA" w:rsidP="00CD689A">
      <w:pPr>
        <w:spacing w:line="480" w:lineRule="auto"/>
        <w:rPr>
          <w:rFonts w:ascii="Times New Roman" w:hAnsi="Times New Roman" w:cs="Times New Roman"/>
          <w:sz w:val="24"/>
          <w:szCs w:val="24"/>
        </w:rPr>
      </w:pPr>
      <w:r w:rsidRPr="00CD689A">
        <w:rPr>
          <w:rFonts w:ascii="Times New Roman" w:hAnsi="Times New Roman" w:cs="Times New Roman"/>
          <w:sz w:val="24"/>
          <w:szCs w:val="24"/>
        </w:rPr>
        <w:tab/>
      </w:r>
      <w:r w:rsidR="00CD689A" w:rsidRPr="00CD689A">
        <w:rPr>
          <w:rFonts w:ascii="Times New Roman" w:hAnsi="Times New Roman" w:cs="Times New Roman"/>
          <w:sz w:val="24"/>
          <w:szCs w:val="24"/>
        </w:rPr>
        <w:t>8-hour</w:t>
      </w:r>
      <w:r w:rsidRPr="00CD689A">
        <w:rPr>
          <w:rFonts w:ascii="Times New Roman" w:hAnsi="Times New Roman" w:cs="Times New Roman"/>
          <w:sz w:val="24"/>
          <w:szCs w:val="24"/>
        </w:rPr>
        <w:t xml:space="preserve"> TWA = </w:t>
      </w:r>
      <w:r w:rsidR="00697450" w:rsidRPr="00CD689A">
        <w:rPr>
          <w:rFonts w:ascii="Times New Roman" w:hAnsi="Times New Roman" w:cs="Times New Roman"/>
          <w:sz w:val="24"/>
          <w:szCs w:val="24"/>
        </w:rPr>
        <w:t>(</w:t>
      </w:r>
      <w:r w:rsidRPr="00CD689A">
        <w:rPr>
          <w:rFonts w:ascii="Times New Roman" w:hAnsi="Times New Roman" w:cs="Times New Roman"/>
          <w:sz w:val="24"/>
          <w:szCs w:val="24"/>
        </w:rPr>
        <w:t>5.10*1/3+42.82*3/4+60.11*1/4+65.33*</w:t>
      </w:r>
      <w:r w:rsidR="00697450" w:rsidRPr="00CD689A">
        <w:rPr>
          <w:rFonts w:ascii="Times New Roman" w:hAnsi="Times New Roman" w:cs="Times New Roman"/>
          <w:sz w:val="24"/>
          <w:szCs w:val="24"/>
        </w:rPr>
        <w:t>5/12+75.66*1/4+78.05*1/2+80.75*1/2+70.62*1+66*13/12+64.2*5/12+59.10*1/2)/8</w:t>
      </w:r>
    </w:p>
    <w:p w14:paraId="110F5C3B" w14:textId="6A4BB7BE" w:rsidR="00697450" w:rsidRPr="00CD689A" w:rsidRDefault="009D25AA" w:rsidP="00CD689A">
      <w:pPr>
        <w:spacing w:line="480" w:lineRule="auto"/>
        <w:rPr>
          <w:rFonts w:ascii="Times New Roman" w:hAnsi="Times New Roman" w:cs="Times New Roman"/>
          <w:sz w:val="24"/>
          <w:szCs w:val="24"/>
        </w:rPr>
      </w:pPr>
      <w:r w:rsidRPr="00CD689A">
        <w:rPr>
          <w:rFonts w:ascii="Times New Roman" w:hAnsi="Times New Roman" w:cs="Times New Roman"/>
          <w:sz w:val="24"/>
          <w:szCs w:val="24"/>
        </w:rPr>
        <w:tab/>
      </w:r>
      <w:r w:rsidR="00CD689A" w:rsidRPr="00CD689A">
        <w:rPr>
          <w:rFonts w:ascii="Times New Roman" w:hAnsi="Times New Roman" w:cs="Times New Roman"/>
          <w:sz w:val="24"/>
          <w:szCs w:val="24"/>
        </w:rPr>
        <w:t>8-hour</w:t>
      </w:r>
      <w:r w:rsidRPr="00CD689A">
        <w:rPr>
          <w:rFonts w:ascii="Times New Roman" w:hAnsi="Times New Roman" w:cs="Times New Roman"/>
          <w:sz w:val="24"/>
          <w:szCs w:val="24"/>
        </w:rPr>
        <w:t xml:space="preserve"> TWA= </w:t>
      </w:r>
      <w:r w:rsidR="00DC7775">
        <w:rPr>
          <w:rFonts w:ascii="Times New Roman" w:hAnsi="Times New Roman" w:cs="Times New Roman"/>
          <w:sz w:val="24"/>
          <w:szCs w:val="24"/>
        </w:rPr>
        <w:t>46.60ppm</w:t>
      </w:r>
    </w:p>
    <w:p w14:paraId="16EDCF78" w14:textId="77777777" w:rsidR="00C47C1A" w:rsidRPr="00CD689A" w:rsidRDefault="009D25AA" w:rsidP="00CD689A">
      <w:pPr>
        <w:spacing w:line="480" w:lineRule="auto"/>
        <w:rPr>
          <w:rFonts w:ascii="Times New Roman" w:hAnsi="Times New Roman" w:cs="Times New Roman"/>
          <w:sz w:val="24"/>
          <w:szCs w:val="24"/>
        </w:rPr>
      </w:pPr>
      <w:r w:rsidRPr="00CD689A">
        <w:rPr>
          <w:rFonts w:ascii="Times New Roman" w:hAnsi="Times New Roman" w:cs="Times New Roman"/>
          <w:sz w:val="24"/>
          <w:szCs w:val="24"/>
        </w:rPr>
        <w:tab/>
        <w:t xml:space="preserve">TWA is the total portion of each period multiplied by the concentration in the time period </w:t>
      </w:r>
      <w:r w:rsidRPr="00CD689A">
        <w:rPr>
          <w:rFonts w:ascii="Times New Roman" w:hAnsi="Times New Roman" w:cs="Times New Roman"/>
          <w:sz w:val="24"/>
          <w:szCs w:val="24"/>
        </w:rPr>
        <w:t xml:space="preserve">then divided by the work hours. TWA represents “time-weighted average” t indicate time or duration and “c” represents concentration. </w:t>
      </w:r>
    </w:p>
    <w:p w14:paraId="7E76BE78" w14:textId="3C3CF40E" w:rsidR="00740894" w:rsidRPr="00CD689A" w:rsidRDefault="009D25AA" w:rsidP="00CD689A">
      <w:pPr>
        <w:spacing w:line="480" w:lineRule="auto"/>
        <w:ind w:firstLine="720"/>
        <w:rPr>
          <w:rFonts w:ascii="Times New Roman" w:hAnsi="Times New Roman" w:cs="Times New Roman"/>
          <w:sz w:val="24"/>
          <w:szCs w:val="24"/>
        </w:rPr>
      </w:pPr>
      <w:r w:rsidRPr="00CD689A">
        <w:rPr>
          <w:rFonts w:ascii="Times New Roman" w:hAnsi="Times New Roman" w:cs="Times New Roman"/>
          <w:sz w:val="24"/>
          <w:szCs w:val="24"/>
        </w:rPr>
        <w:t>Formula</w:t>
      </w:r>
    </w:p>
    <w:p w14:paraId="096B7F2D" w14:textId="05F6901E" w:rsidR="00C47C1A" w:rsidRPr="00CD689A" w:rsidRDefault="009D25AA" w:rsidP="00CD689A">
      <w:pPr>
        <w:spacing w:line="480" w:lineRule="auto"/>
        <w:ind w:firstLine="720"/>
        <w:rPr>
          <w:rFonts w:ascii="Times New Roman" w:hAnsi="Times New Roman" w:cs="Times New Roman"/>
          <w:sz w:val="24"/>
          <w:szCs w:val="24"/>
          <w:u w:val="single"/>
        </w:rPr>
      </w:pPr>
      <w:r w:rsidRPr="00CD689A">
        <w:rPr>
          <w:rFonts w:ascii="Times New Roman" w:hAnsi="Times New Roman" w:cs="Times New Roman"/>
          <w:sz w:val="24"/>
          <w:szCs w:val="24"/>
        </w:rPr>
        <w:t xml:space="preserve">      TWA= </w:t>
      </w:r>
      <w:r w:rsidRPr="00CD689A">
        <w:rPr>
          <w:rFonts w:ascii="Times New Roman" w:hAnsi="Times New Roman" w:cs="Times New Roman"/>
          <w:sz w:val="24"/>
          <w:szCs w:val="24"/>
          <w:u w:val="single"/>
        </w:rPr>
        <w:t>t1c1+t2c2+tncn</w:t>
      </w:r>
    </w:p>
    <w:p w14:paraId="3C544CBB" w14:textId="17B9989B" w:rsidR="00C47C1A" w:rsidRPr="00CD689A" w:rsidRDefault="009D25AA" w:rsidP="00CD689A">
      <w:pPr>
        <w:spacing w:line="480" w:lineRule="auto"/>
        <w:ind w:firstLine="720"/>
        <w:rPr>
          <w:rFonts w:ascii="Times New Roman" w:hAnsi="Times New Roman" w:cs="Times New Roman"/>
          <w:sz w:val="24"/>
          <w:szCs w:val="24"/>
        </w:rPr>
      </w:pPr>
      <w:r w:rsidRPr="00CD689A">
        <w:rPr>
          <w:rFonts w:ascii="Times New Roman" w:hAnsi="Times New Roman" w:cs="Times New Roman"/>
          <w:sz w:val="24"/>
          <w:szCs w:val="24"/>
        </w:rPr>
        <w:tab/>
      </w:r>
      <w:r w:rsidRPr="00CD689A">
        <w:rPr>
          <w:rFonts w:ascii="Times New Roman" w:hAnsi="Times New Roman" w:cs="Times New Roman"/>
          <w:sz w:val="24"/>
          <w:szCs w:val="24"/>
        </w:rPr>
        <w:tab/>
        <w:t>T1+t2+</w:t>
      </w:r>
      <w:r w:rsidR="00C747D1" w:rsidRPr="00CD689A">
        <w:rPr>
          <w:rFonts w:ascii="Times New Roman" w:hAnsi="Times New Roman" w:cs="Times New Roman"/>
          <w:sz w:val="24"/>
          <w:szCs w:val="24"/>
        </w:rPr>
        <w:t>….</w:t>
      </w:r>
      <w:r w:rsidRPr="00CD689A">
        <w:rPr>
          <w:rFonts w:ascii="Times New Roman" w:hAnsi="Times New Roman" w:cs="Times New Roman"/>
          <w:sz w:val="24"/>
          <w:szCs w:val="24"/>
        </w:rPr>
        <w:t>tn</w:t>
      </w:r>
    </w:p>
    <w:p w14:paraId="01BDCA50" w14:textId="46203778" w:rsidR="000A1ADF" w:rsidRPr="00CD689A" w:rsidRDefault="009D25AA" w:rsidP="00CD689A">
      <w:pPr>
        <w:spacing w:line="480" w:lineRule="auto"/>
        <w:ind w:firstLine="720"/>
        <w:rPr>
          <w:rFonts w:ascii="Times New Roman" w:hAnsi="Times New Roman" w:cs="Times New Roman"/>
          <w:sz w:val="24"/>
          <w:szCs w:val="24"/>
        </w:rPr>
      </w:pPr>
      <w:r w:rsidRPr="00CD689A">
        <w:rPr>
          <w:rFonts w:ascii="Times New Roman" w:hAnsi="Times New Roman" w:cs="Times New Roman"/>
          <w:sz w:val="24"/>
          <w:szCs w:val="24"/>
        </w:rPr>
        <w:t xml:space="preserve">Permissible exposure </w:t>
      </w:r>
      <w:r w:rsidR="00C747D1" w:rsidRPr="00CD689A">
        <w:rPr>
          <w:rFonts w:ascii="Times New Roman" w:hAnsi="Times New Roman" w:cs="Times New Roman"/>
          <w:sz w:val="24"/>
          <w:szCs w:val="24"/>
        </w:rPr>
        <w:t>limit (</w:t>
      </w:r>
      <w:r w:rsidRPr="00CD689A">
        <w:rPr>
          <w:rFonts w:ascii="Times New Roman" w:hAnsi="Times New Roman" w:cs="Times New Roman"/>
          <w:sz w:val="24"/>
          <w:szCs w:val="24"/>
        </w:rPr>
        <w:t xml:space="preserve">PEL) is a legal limit for exposure of a worker to a substance, for example, chemicals, dust, gases, and many others. PELs are done in parts per million(ppm). A PEL is given as time-weighted </w:t>
      </w:r>
      <w:r w:rsidR="00C747D1" w:rsidRPr="00CD689A">
        <w:rPr>
          <w:rFonts w:ascii="Times New Roman" w:hAnsi="Times New Roman" w:cs="Times New Roman"/>
          <w:sz w:val="24"/>
          <w:szCs w:val="24"/>
        </w:rPr>
        <w:t>average (</w:t>
      </w:r>
      <w:r w:rsidRPr="00CD689A">
        <w:rPr>
          <w:rFonts w:ascii="Times New Roman" w:hAnsi="Times New Roman" w:cs="Times New Roman"/>
          <w:sz w:val="24"/>
          <w:szCs w:val="24"/>
        </w:rPr>
        <w:t>TWA) which is the average exposure employees have somethi</w:t>
      </w:r>
      <w:r w:rsidRPr="00CD689A">
        <w:rPr>
          <w:rFonts w:ascii="Times New Roman" w:hAnsi="Times New Roman" w:cs="Times New Roman"/>
          <w:sz w:val="24"/>
          <w:szCs w:val="24"/>
        </w:rPr>
        <w:t xml:space="preserve">ng without </w:t>
      </w:r>
      <w:r w:rsidR="00C747D1" w:rsidRPr="00CD689A">
        <w:rPr>
          <w:rFonts w:ascii="Times New Roman" w:hAnsi="Times New Roman" w:cs="Times New Roman"/>
          <w:sz w:val="24"/>
          <w:szCs w:val="24"/>
        </w:rPr>
        <w:t xml:space="preserve">being affected Healthwise over a certain duration. </w:t>
      </w:r>
    </w:p>
    <w:p w14:paraId="5EFC4D71" w14:textId="77777777" w:rsidR="00D04706" w:rsidRPr="00CD689A" w:rsidRDefault="009D25AA" w:rsidP="00CD689A">
      <w:pPr>
        <w:spacing w:line="480" w:lineRule="auto"/>
        <w:ind w:firstLine="720"/>
        <w:rPr>
          <w:rFonts w:ascii="Times New Roman" w:hAnsi="Times New Roman" w:cs="Times New Roman"/>
          <w:sz w:val="24"/>
          <w:szCs w:val="24"/>
        </w:rPr>
      </w:pPr>
      <w:r w:rsidRPr="00CD689A">
        <w:rPr>
          <w:rFonts w:ascii="Times New Roman" w:hAnsi="Times New Roman" w:cs="Times New Roman"/>
          <w:sz w:val="24"/>
          <w:szCs w:val="24"/>
        </w:rPr>
        <w:t xml:space="preserve">TWA is the average exposure over a defined period. It is usually eight hours which shows that a worker needs to be exposed to a concentration higher than PEL, provided TWA is not exceeded. The </w:t>
      </w:r>
      <w:r w:rsidRPr="00CD689A">
        <w:rPr>
          <w:rFonts w:ascii="Times New Roman" w:hAnsi="Times New Roman" w:cs="Times New Roman"/>
          <w:sz w:val="24"/>
          <w:szCs w:val="24"/>
        </w:rPr>
        <w:t>excursion limit means that worker exposure may go beyond three times the PEL-TWA for not more than thirty minutes a day and no condition should exceed five times PEL-TWA, so long as PEL-TWA is not exceeded.</w:t>
      </w:r>
    </w:p>
    <w:p w14:paraId="2EF23EDC" w14:textId="77777777" w:rsidR="00D04706" w:rsidRPr="00CD689A" w:rsidRDefault="00D04706" w:rsidP="00CD689A">
      <w:pPr>
        <w:spacing w:line="480" w:lineRule="auto"/>
        <w:ind w:firstLine="720"/>
        <w:rPr>
          <w:rFonts w:ascii="Times New Roman" w:hAnsi="Times New Roman" w:cs="Times New Roman"/>
          <w:sz w:val="24"/>
          <w:szCs w:val="24"/>
        </w:rPr>
      </w:pPr>
    </w:p>
    <w:p w14:paraId="5CFCC32B" w14:textId="78DD2602" w:rsidR="00C747D1" w:rsidRPr="00CD689A" w:rsidRDefault="009D25AA" w:rsidP="00CD689A">
      <w:pPr>
        <w:spacing w:line="480" w:lineRule="auto"/>
        <w:ind w:firstLine="720"/>
        <w:rPr>
          <w:rFonts w:ascii="Times New Roman" w:hAnsi="Times New Roman" w:cs="Times New Roman"/>
          <w:sz w:val="24"/>
          <w:szCs w:val="24"/>
        </w:rPr>
      </w:pPr>
      <w:r w:rsidRPr="00CD689A">
        <w:rPr>
          <w:rFonts w:ascii="Times New Roman" w:hAnsi="Times New Roman" w:cs="Times New Roman"/>
          <w:sz w:val="24"/>
          <w:szCs w:val="24"/>
        </w:rPr>
        <w:lastRenderedPageBreak/>
        <w:t xml:space="preserve">There is a belief that working </w:t>
      </w:r>
      <w:r w:rsidR="0095372A" w:rsidRPr="00CD689A">
        <w:rPr>
          <w:rFonts w:ascii="Times New Roman" w:hAnsi="Times New Roman" w:cs="Times New Roman"/>
          <w:sz w:val="24"/>
          <w:szCs w:val="24"/>
        </w:rPr>
        <w:t>per</w:t>
      </w:r>
      <w:r w:rsidRPr="00CD689A">
        <w:rPr>
          <w:rFonts w:ascii="Times New Roman" w:hAnsi="Times New Roman" w:cs="Times New Roman"/>
          <w:sz w:val="24"/>
          <w:szCs w:val="24"/>
        </w:rPr>
        <w:t xml:space="preserve"> the amendment</w:t>
      </w:r>
      <w:r w:rsidRPr="00CD689A">
        <w:rPr>
          <w:rFonts w:ascii="Times New Roman" w:hAnsi="Times New Roman" w:cs="Times New Roman"/>
          <w:sz w:val="24"/>
          <w:szCs w:val="24"/>
        </w:rPr>
        <w:t xml:space="preserve">s to lower the PEL to 0.1f/cc as a TWA calculated for 8 hours will reduce health risk that was after that exposure to 0.2f/cc. The risk estimates of 1986 </w:t>
      </w:r>
      <w:r w:rsidR="00E94F04" w:rsidRPr="00CD689A">
        <w:rPr>
          <w:rFonts w:ascii="Times New Roman" w:hAnsi="Times New Roman" w:cs="Times New Roman"/>
          <w:sz w:val="24"/>
          <w:szCs w:val="24"/>
        </w:rPr>
        <w:t xml:space="preserve">indicated that lowering TWA PEL reduces the cancer mortality risk from exposure from 64 </w:t>
      </w:r>
      <w:r w:rsidR="0095372A" w:rsidRPr="00CD689A">
        <w:rPr>
          <w:rFonts w:ascii="Times New Roman" w:hAnsi="Times New Roman" w:cs="Times New Roman"/>
          <w:sz w:val="24"/>
          <w:szCs w:val="24"/>
        </w:rPr>
        <w:t>deaths per</w:t>
      </w:r>
      <w:r w:rsidR="00E94F04" w:rsidRPr="00CD689A">
        <w:rPr>
          <w:rFonts w:ascii="Times New Roman" w:hAnsi="Times New Roman" w:cs="Times New Roman"/>
          <w:sz w:val="24"/>
          <w:szCs w:val="24"/>
        </w:rPr>
        <w:t xml:space="preserve"> every 1000 workers to 7 deaths per every 1000 employees. There is an estimate of the incidence would be five </w:t>
      </w:r>
      <w:r w:rsidR="0095372A" w:rsidRPr="00CD689A">
        <w:rPr>
          <w:rFonts w:ascii="Times New Roman" w:hAnsi="Times New Roman" w:cs="Times New Roman"/>
          <w:sz w:val="24"/>
          <w:szCs w:val="24"/>
        </w:rPr>
        <w:t>deaths per</w:t>
      </w:r>
      <w:r w:rsidR="00E94F04" w:rsidRPr="00CD689A">
        <w:rPr>
          <w:rFonts w:ascii="Times New Roman" w:hAnsi="Times New Roman" w:cs="Times New Roman"/>
          <w:sz w:val="24"/>
          <w:szCs w:val="24"/>
        </w:rPr>
        <w:t xml:space="preserve"> 1000 employees exposed for a particular time. </w:t>
      </w:r>
    </w:p>
    <w:p w14:paraId="5E60F7CF" w14:textId="77777777" w:rsidR="0095372A" w:rsidRPr="00CD689A" w:rsidRDefault="009D25AA" w:rsidP="00CD689A">
      <w:pPr>
        <w:spacing w:line="480" w:lineRule="auto"/>
        <w:ind w:firstLine="720"/>
        <w:rPr>
          <w:rFonts w:ascii="Times New Roman" w:hAnsi="Times New Roman" w:cs="Times New Roman"/>
          <w:sz w:val="24"/>
          <w:szCs w:val="24"/>
        </w:rPr>
      </w:pPr>
      <w:r w:rsidRPr="00CD689A">
        <w:rPr>
          <w:rFonts w:ascii="Times New Roman" w:hAnsi="Times New Roman" w:cs="Times New Roman"/>
          <w:sz w:val="24"/>
          <w:szCs w:val="24"/>
        </w:rPr>
        <w:t>Assessment risks indicated that lowering exposure to 0.1f/cc reduces cancer risks to about 3</w:t>
      </w:r>
      <w:r w:rsidRPr="00CD689A">
        <w:rPr>
          <w:rFonts w:ascii="Times New Roman" w:hAnsi="Times New Roman" w:cs="Times New Roman"/>
          <w:sz w:val="24"/>
          <w:szCs w:val="24"/>
        </w:rPr>
        <w:t xml:space="preserve">.5 per 1000 workers and 2.3 per 1000 employees for exposure risk of 20 years. Reducing the limit for exposure to 0.1f/cc will significantly reduce risk. </w:t>
      </w:r>
    </w:p>
    <w:p w14:paraId="7A77D68E" w14:textId="77777777" w:rsidR="0095372A" w:rsidRPr="00CD689A" w:rsidRDefault="0095372A" w:rsidP="00CD689A">
      <w:pPr>
        <w:spacing w:line="480" w:lineRule="auto"/>
        <w:ind w:firstLine="720"/>
        <w:rPr>
          <w:rFonts w:ascii="Times New Roman" w:hAnsi="Times New Roman" w:cs="Times New Roman"/>
          <w:sz w:val="24"/>
          <w:szCs w:val="24"/>
        </w:rPr>
      </w:pPr>
    </w:p>
    <w:p w14:paraId="11EB82C5" w14:textId="77777777" w:rsidR="0045499C" w:rsidRPr="00CD689A" w:rsidRDefault="0045499C" w:rsidP="00CD689A">
      <w:pPr>
        <w:spacing w:line="480" w:lineRule="auto"/>
        <w:rPr>
          <w:rFonts w:ascii="Times New Roman" w:hAnsi="Times New Roman" w:cs="Times New Roman"/>
          <w:sz w:val="24"/>
          <w:szCs w:val="24"/>
        </w:rPr>
      </w:pPr>
    </w:p>
    <w:p w14:paraId="78EC409D" w14:textId="77777777" w:rsidR="00F76B47" w:rsidRDefault="00F76B47" w:rsidP="00CD689A">
      <w:pPr>
        <w:spacing w:line="480" w:lineRule="auto"/>
        <w:jc w:val="center"/>
        <w:rPr>
          <w:rFonts w:ascii="Times New Roman" w:hAnsi="Times New Roman" w:cs="Times New Roman"/>
          <w:sz w:val="24"/>
          <w:szCs w:val="24"/>
        </w:rPr>
      </w:pPr>
    </w:p>
    <w:p w14:paraId="7EC1B0BC" w14:textId="77777777" w:rsidR="00F76B47" w:rsidRDefault="00F76B47" w:rsidP="00CD689A">
      <w:pPr>
        <w:spacing w:line="480" w:lineRule="auto"/>
        <w:jc w:val="center"/>
        <w:rPr>
          <w:rFonts w:ascii="Times New Roman" w:hAnsi="Times New Roman" w:cs="Times New Roman"/>
          <w:sz w:val="24"/>
          <w:szCs w:val="24"/>
        </w:rPr>
      </w:pPr>
    </w:p>
    <w:p w14:paraId="6BC83F00" w14:textId="77777777" w:rsidR="00F76B47" w:rsidRDefault="00F76B47" w:rsidP="00CD689A">
      <w:pPr>
        <w:spacing w:line="480" w:lineRule="auto"/>
        <w:jc w:val="center"/>
        <w:rPr>
          <w:rFonts w:ascii="Times New Roman" w:hAnsi="Times New Roman" w:cs="Times New Roman"/>
          <w:sz w:val="24"/>
          <w:szCs w:val="24"/>
        </w:rPr>
      </w:pPr>
    </w:p>
    <w:p w14:paraId="5070E2EA" w14:textId="77777777" w:rsidR="00F76B47" w:rsidRDefault="00F76B47" w:rsidP="00CD689A">
      <w:pPr>
        <w:spacing w:line="480" w:lineRule="auto"/>
        <w:jc w:val="center"/>
        <w:rPr>
          <w:rFonts w:ascii="Times New Roman" w:hAnsi="Times New Roman" w:cs="Times New Roman"/>
          <w:sz w:val="24"/>
          <w:szCs w:val="24"/>
        </w:rPr>
      </w:pPr>
    </w:p>
    <w:p w14:paraId="3908A542" w14:textId="77777777" w:rsidR="00F76B47" w:rsidRDefault="00F76B47" w:rsidP="00CD689A">
      <w:pPr>
        <w:spacing w:line="480" w:lineRule="auto"/>
        <w:jc w:val="center"/>
        <w:rPr>
          <w:rFonts w:ascii="Times New Roman" w:hAnsi="Times New Roman" w:cs="Times New Roman"/>
          <w:sz w:val="24"/>
          <w:szCs w:val="24"/>
        </w:rPr>
      </w:pPr>
    </w:p>
    <w:p w14:paraId="1762163D" w14:textId="77777777" w:rsidR="00F76B47" w:rsidRDefault="00F76B47" w:rsidP="00CD689A">
      <w:pPr>
        <w:spacing w:line="480" w:lineRule="auto"/>
        <w:jc w:val="center"/>
        <w:rPr>
          <w:rFonts w:ascii="Times New Roman" w:hAnsi="Times New Roman" w:cs="Times New Roman"/>
          <w:sz w:val="24"/>
          <w:szCs w:val="24"/>
        </w:rPr>
      </w:pPr>
    </w:p>
    <w:p w14:paraId="615F12F4" w14:textId="77777777" w:rsidR="00F76B47" w:rsidRDefault="00F76B47" w:rsidP="00CD689A">
      <w:pPr>
        <w:spacing w:line="480" w:lineRule="auto"/>
        <w:jc w:val="center"/>
        <w:rPr>
          <w:rFonts w:ascii="Times New Roman" w:hAnsi="Times New Roman" w:cs="Times New Roman"/>
          <w:sz w:val="24"/>
          <w:szCs w:val="24"/>
        </w:rPr>
      </w:pPr>
    </w:p>
    <w:p w14:paraId="6528140F" w14:textId="77777777" w:rsidR="00F76B47" w:rsidRDefault="00F76B47" w:rsidP="00CD689A">
      <w:pPr>
        <w:spacing w:line="480" w:lineRule="auto"/>
        <w:jc w:val="center"/>
        <w:rPr>
          <w:rFonts w:ascii="Times New Roman" w:hAnsi="Times New Roman" w:cs="Times New Roman"/>
          <w:sz w:val="24"/>
          <w:szCs w:val="24"/>
        </w:rPr>
      </w:pPr>
    </w:p>
    <w:p w14:paraId="1F20938E" w14:textId="77777777" w:rsidR="00F76B47" w:rsidRDefault="00F76B47" w:rsidP="00CD689A">
      <w:pPr>
        <w:spacing w:line="480" w:lineRule="auto"/>
        <w:jc w:val="center"/>
        <w:rPr>
          <w:rFonts w:ascii="Times New Roman" w:hAnsi="Times New Roman" w:cs="Times New Roman"/>
          <w:sz w:val="24"/>
          <w:szCs w:val="24"/>
        </w:rPr>
      </w:pPr>
    </w:p>
    <w:p w14:paraId="67C3E4AE" w14:textId="4D966EAC" w:rsidR="00E94F04" w:rsidRPr="00CD689A" w:rsidRDefault="009D25AA" w:rsidP="00CD689A">
      <w:pPr>
        <w:spacing w:line="480" w:lineRule="auto"/>
        <w:jc w:val="center"/>
        <w:rPr>
          <w:rFonts w:ascii="Times New Roman" w:hAnsi="Times New Roman" w:cs="Times New Roman"/>
          <w:sz w:val="24"/>
          <w:szCs w:val="24"/>
        </w:rPr>
      </w:pPr>
      <w:r w:rsidRPr="00CD689A">
        <w:rPr>
          <w:rFonts w:ascii="Times New Roman" w:hAnsi="Times New Roman" w:cs="Times New Roman"/>
          <w:sz w:val="24"/>
          <w:szCs w:val="24"/>
        </w:rPr>
        <w:lastRenderedPageBreak/>
        <w:t>References</w:t>
      </w:r>
    </w:p>
    <w:p w14:paraId="0EC01D9F" w14:textId="66AFF175" w:rsidR="0095372A" w:rsidRPr="00CD689A" w:rsidRDefault="009D25AA" w:rsidP="00CD689A">
      <w:pPr>
        <w:spacing w:line="480" w:lineRule="auto"/>
        <w:ind w:firstLine="720"/>
        <w:rPr>
          <w:rFonts w:ascii="Times New Roman" w:hAnsi="Times New Roman" w:cs="Times New Roman"/>
          <w:sz w:val="24"/>
          <w:szCs w:val="24"/>
        </w:rPr>
      </w:pPr>
      <w:bookmarkStart w:id="1" w:name="_Hlk4615688"/>
      <w:r w:rsidRPr="00CD689A">
        <w:rPr>
          <w:rFonts w:ascii="Times New Roman" w:hAnsi="Times New Roman" w:cs="Times New Roman"/>
          <w:sz w:val="24"/>
          <w:szCs w:val="24"/>
        </w:rPr>
        <w:t xml:space="preserve">Abel, E. L., &amp; Hannigan, J. H. (1995). </w:t>
      </w:r>
      <w:bookmarkEnd w:id="1"/>
      <w:r w:rsidRPr="00CD689A">
        <w:rPr>
          <w:rFonts w:ascii="Times New Roman" w:hAnsi="Times New Roman" w:cs="Times New Roman"/>
          <w:sz w:val="24"/>
          <w:szCs w:val="24"/>
        </w:rPr>
        <w:t>Maternal risk factors in fetal alcohol sy</w:t>
      </w:r>
      <w:r w:rsidRPr="00CD689A">
        <w:rPr>
          <w:rFonts w:ascii="Times New Roman" w:hAnsi="Times New Roman" w:cs="Times New Roman"/>
          <w:sz w:val="24"/>
          <w:szCs w:val="24"/>
        </w:rPr>
        <w:t>ndrome: Provocative and permissive influences. Neurotoxicology and Teratology, 17(4), 445-462.</w:t>
      </w:r>
    </w:p>
    <w:p w14:paraId="06CEF6B1" w14:textId="1C7A7881" w:rsidR="0095372A" w:rsidRPr="00CD689A" w:rsidRDefault="009D25AA" w:rsidP="00CD689A">
      <w:pPr>
        <w:spacing w:line="480" w:lineRule="auto"/>
        <w:ind w:firstLine="720"/>
        <w:rPr>
          <w:rFonts w:ascii="Times New Roman" w:hAnsi="Times New Roman" w:cs="Times New Roman"/>
          <w:sz w:val="24"/>
          <w:szCs w:val="24"/>
        </w:rPr>
      </w:pPr>
      <w:r w:rsidRPr="00CD689A">
        <w:rPr>
          <w:rFonts w:ascii="Times New Roman" w:hAnsi="Times New Roman" w:cs="Times New Roman"/>
          <w:sz w:val="24"/>
          <w:szCs w:val="24"/>
        </w:rPr>
        <w:t>Lanphear, B. P., Hornung, R., Khoury, J., Yolton, K., Baghurst, P., Bellinger, D. C., ... &amp; Rothenberg, S. J. (2005). Low-level environmental lead exposure and c</w:t>
      </w:r>
      <w:r w:rsidRPr="00CD689A">
        <w:rPr>
          <w:rFonts w:ascii="Times New Roman" w:hAnsi="Times New Roman" w:cs="Times New Roman"/>
          <w:sz w:val="24"/>
          <w:szCs w:val="24"/>
        </w:rPr>
        <w:t>hildren’s intellectual function: an international pooled analysis. Environmental health perspectives, 113(7), 894-899.</w:t>
      </w:r>
    </w:p>
    <w:p w14:paraId="216DBA91" w14:textId="5647F7CE" w:rsidR="0045499C" w:rsidRPr="00CD689A" w:rsidRDefault="009D25AA" w:rsidP="00CD689A">
      <w:pPr>
        <w:spacing w:line="480" w:lineRule="auto"/>
        <w:ind w:firstLine="720"/>
        <w:rPr>
          <w:rFonts w:ascii="Times New Roman" w:hAnsi="Times New Roman" w:cs="Times New Roman"/>
          <w:sz w:val="24"/>
          <w:szCs w:val="24"/>
        </w:rPr>
      </w:pPr>
      <w:r w:rsidRPr="00CD689A">
        <w:rPr>
          <w:rFonts w:ascii="Times New Roman" w:hAnsi="Times New Roman" w:cs="Times New Roman"/>
          <w:sz w:val="24"/>
          <w:szCs w:val="24"/>
        </w:rPr>
        <w:t>Koppe, J. G., Bartonova, A., Bolte, G., Bistrup, M. L., Busby, C., Butter, M., ... &amp; Howard, V. (2006). Exposure to multiple environmenta</w:t>
      </w:r>
      <w:r w:rsidRPr="00CD689A">
        <w:rPr>
          <w:rFonts w:ascii="Times New Roman" w:hAnsi="Times New Roman" w:cs="Times New Roman"/>
          <w:sz w:val="24"/>
          <w:szCs w:val="24"/>
        </w:rPr>
        <w:t>l agents and their effect. Acta Paediatrica, 95, 106-113.</w:t>
      </w:r>
    </w:p>
    <w:p w14:paraId="3BCBF958" w14:textId="1409A662" w:rsidR="00C47C1A" w:rsidRPr="00C47C1A" w:rsidRDefault="00C47C1A" w:rsidP="00C47C1A">
      <w:pPr>
        <w:spacing w:line="480" w:lineRule="auto"/>
        <w:ind w:firstLine="720"/>
        <w:rPr>
          <w:rFonts w:ascii="Times New Roman" w:hAnsi="Times New Roman" w:cs="Times New Roman"/>
          <w:sz w:val="24"/>
          <w:szCs w:val="24"/>
        </w:rPr>
      </w:pPr>
    </w:p>
    <w:p w14:paraId="61756831" w14:textId="77777777" w:rsidR="00C47C1A" w:rsidRPr="00C47C1A" w:rsidRDefault="00C47C1A" w:rsidP="00C47C1A">
      <w:pPr>
        <w:spacing w:line="480" w:lineRule="auto"/>
        <w:ind w:firstLine="720"/>
        <w:rPr>
          <w:rFonts w:ascii="Times New Roman" w:hAnsi="Times New Roman" w:cs="Times New Roman"/>
          <w:sz w:val="24"/>
          <w:szCs w:val="24"/>
          <w:u w:val="single"/>
        </w:rPr>
      </w:pPr>
    </w:p>
    <w:p w14:paraId="02C8D509" w14:textId="6DA163B4" w:rsidR="00C14114" w:rsidRDefault="009D25AA" w:rsidP="003D7F78">
      <w:pPr>
        <w:spacing w:line="480" w:lineRule="auto"/>
        <w:rPr>
          <w:rFonts w:ascii="Times New Roman" w:hAnsi="Times New Roman" w:cs="Times New Roman"/>
          <w:sz w:val="24"/>
          <w:szCs w:val="24"/>
        </w:rPr>
      </w:pPr>
      <w:r>
        <w:rPr>
          <w:rFonts w:ascii="Times New Roman" w:hAnsi="Times New Roman" w:cs="Times New Roman"/>
          <w:sz w:val="24"/>
          <w:szCs w:val="24"/>
        </w:rPr>
        <w:tab/>
      </w:r>
    </w:p>
    <w:p w14:paraId="3DD3D8BA" w14:textId="438DF619" w:rsidR="008506BB" w:rsidRPr="003D7F78" w:rsidRDefault="009D25AA" w:rsidP="003D7F7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8506BB" w:rsidRPr="003D7F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6BB"/>
    <w:rsid w:val="000A1ADF"/>
    <w:rsid w:val="00395B58"/>
    <w:rsid w:val="003D7F78"/>
    <w:rsid w:val="0045499C"/>
    <w:rsid w:val="004F5BD5"/>
    <w:rsid w:val="0068636D"/>
    <w:rsid w:val="00697450"/>
    <w:rsid w:val="00740894"/>
    <w:rsid w:val="008506BB"/>
    <w:rsid w:val="00872B2F"/>
    <w:rsid w:val="0095372A"/>
    <w:rsid w:val="009D25AA"/>
    <w:rsid w:val="00A95C8C"/>
    <w:rsid w:val="00B856E2"/>
    <w:rsid w:val="00BA117A"/>
    <w:rsid w:val="00C14114"/>
    <w:rsid w:val="00C411D2"/>
    <w:rsid w:val="00C47C1A"/>
    <w:rsid w:val="00C747D1"/>
    <w:rsid w:val="00CD689A"/>
    <w:rsid w:val="00D04706"/>
    <w:rsid w:val="00DC7775"/>
    <w:rsid w:val="00E94F04"/>
    <w:rsid w:val="00EB4490"/>
    <w:rsid w:val="00F76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80C4D3-1BA6-415D-B370-3F23BD5E6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685</Words>
  <Characters>3906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Microsoft</cp:lastModifiedBy>
  <cp:revision>2</cp:revision>
  <dcterms:created xsi:type="dcterms:W3CDTF">2019-03-27T19:16:00Z</dcterms:created>
  <dcterms:modified xsi:type="dcterms:W3CDTF">2019-03-27T19:16:00Z</dcterms:modified>
</cp:coreProperties>
</file>